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2433F" w14:textId="7771ECA1" w:rsidR="001F096A" w:rsidRPr="001F096A" w:rsidRDefault="001F096A" w:rsidP="001F096A">
      <w:pPr>
        <w:rPr>
          <w:b/>
          <w:bCs/>
        </w:rPr>
      </w:pPr>
      <w:r w:rsidRPr="001F096A">
        <w:rPr>
          <w:b/>
          <w:bCs/>
        </w:rPr>
        <w:t>Pacto Global da ONU - Rede Brasil destaca avanços e entregas na primeira semana da COP30</w:t>
      </w:r>
    </w:p>
    <w:p w14:paraId="3208833B" w14:textId="6B8010D2" w:rsidR="001F096A" w:rsidRDefault="001F096A" w:rsidP="001F096A">
      <w:r>
        <w:t>Na primeira semana da COP30, o Pacto Global da ONU - Rede Brasil participou de uma série de agendas e debates que reforçaram sua atuação transversal na agenda climática e empresarial. A equipe contribuiu para discussões sobre recursos hídricos, agricultura, economia circular, oceano, governança de sistemas alimentares e devida diligência em direitos humanos no setor da pecuária, ampliando o diálogo com empresas, parceiros e instituições presentes em Belém.</w:t>
      </w:r>
    </w:p>
    <w:p w14:paraId="78D554E6" w14:textId="40715A1D" w:rsidR="001F096A" w:rsidRDefault="001F096A" w:rsidP="001F096A">
      <w:r>
        <w:t xml:space="preserve">As sessões também destacaram iniciativas do setor privado que demonstram avanços concretos na implementação de soluções para o clima. Entre os exemplos apresentados estiveram ações de agricultura regenerativa para redução de emissões, modelos de moeda circular, recuperação de áreas degradadas e bacias hidrográficas e ampliação do acesso ao saneamento básico. </w:t>
      </w:r>
    </w:p>
    <w:p w14:paraId="1283A891" w14:textId="579ADF94" w:rsidR="001F096A" w:rsidRDefault="001F096A" w:rsidP="001F096A">
      <w:r>
        <w:t>Rubens Filho, gerente executivo de Meio Ambiente do Pacto Global da ONU - Rede Brasil, afirmou: “Essa primeira semana evidenciou o esforço coletivo das empresas para apresentar soluções práticas. As entregas que fizemos aqui refletem um trabalho contínuo de construção junto ao setor privado.”</w:t>
      </w:r>
    </w:p>
    <w:p w14:paraId="797CA088" w14:textId="5FE686DC" w:rsidR="001F096A" w:rsidRDefault="001F096A" w:rsidP="001F096A">
      <w:r>
        <w:t>O Pacto também lançou três materiais estratégicos que marcaram a semana: o relatório sobre biocombustíveis e eletrificação das rotas de transporte de carga, o Guia de Agricultura Regenerativa e o Guia de Combate ao Lixo Plástico no Oceano. Desenvolvidos ao longo de 2025 com o apoio de empresas brasileiras, esses materiais fortalecem a agenda de implementação e ampliam o acesso a ferramentas que apoiam ações ambientais e sociais no país.</w:t>
      </w:r>
    </w:p>
    <w:sectPr w:rsidR="001F09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96A"/>
    <w:rsid w:val="001F096A"/>
    <w:rsid w:val="0090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A6809"/>
  <w15:chartTrackingRefBased/>
  <w15:docId w15:val="{7BC70B04-0F57-4AA0-A929-DE5D4EE5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F09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09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F09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F09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F09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F09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F09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F09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F09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F09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09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F09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F096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F096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F09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F096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F09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F09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F09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F09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F09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F09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F09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F096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F096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F096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F09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F096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F09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Cortes | Pacto Global Brasil</dc:creator>
  <cp:keywords/>
  <dc:description/>
  <cp:lastModifiedBy>Patricia Cortes | Pacto Global Brasil</cp:lastModifiedBy>
  <cp:revision>2</cp:revision>
  <dcterms:created xsi:type="dcterms:W3CDTF">2025-11-17T12:54:00Z</dcterms:created>
  <dcterms:modified xsi:type="dcterms:W3CDTF">2025-11-17T12:54:00Z</dcterms:modified>
</cp:coreProperties>
</file>