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CFE74" w14:textId="2F707EE0" w:rsidR="009B49EF" w:rsidRPr="005E465C" w:rsidRDefault="009B49EF" w:rsidP="009B49EF">
      <w:pPr>
        <w:rPr>
          <w:b/>
          <w:bCs/>
        </w:rPr>
      </w:pPr>
      <w:r w:rsidRPr="005E465C">
        <w:rPr>
          <w:b/>
          <w:bCs/>
        </w:rPr>
        <w:t>Painel na AgriZone destaca cooperação para transformar a agricultura brasileira em vetor de soluções climáticas</w:t>
      </w:r>
      <w:r>
        <w:t xml:space="preserve"> </w:t>
      </w:r>
    </w:p>
    <w:p w14:paraId="1EFD9236" w14:textId="09C024C8" w:rsidR="009B49EF" w:rsidRDefault="009B49EF" w:rsidP="009B49EF">
      <w:r>
        <w:t>Durante a COP30, o painel “Do Debate Global à Cooperação Local: Implementando a Agenda de Sharm el-Sheikh na Agricultura Brasileira”, realizado na AgriZone, reuniu representantes de diferentes setores para discutir caminhos que conectem os compromissos climáticos globais às realidades e desafios do campo brasileiro.</w:t>
      </w:r>
    </w:p>
    <w:p w14:paraId="02146F34" w14:textId="2B4FB21F" w:rsidR="009B49EF" w:rsidRDefault="009B49EF" w:rsidP="009B49EF">
      <w:r>
        <w:t>O encontro foi uma oportunidade importante para aproximar o debate internacional das práticas locais e discutir como empresas podem traduzir compromissos climáticos em ações concretas, especialmente em cadeias produtivas que impactam diretamente o uso da terra, a conservação da biodiversidade e a segurança alimentar.</w:t>
      </w:r>
    </w:p>
    <w:p w14:paraId="02C67CC6" w14:textId="2B712235" w:rsidR="009B49EF" w:rsidRDefault="009B49EF" w:rsidP="009B49EF">
      <w:r>
        <w:t>Rubens Filho, gerente executivo de Meio Ambiente do Pacto Global da ONU - Rede Brasil, destacou que o Pacto tem trabalhado para apoiar o setor privado na implementação de práticas regenerativas e de baixo carbono, em parceria com organizações públicas e multilaterais. “Essa troca de experiências na AgriZone reforça a importância da cooperação entre todos os atores - empresas, produtores, ciência e governo - para que a agricultura brasileira seja um vetor real de soluções climáticas e não apenas parte do problema”, afirmou.</w:t>
      </w:r>
    </w:p>
    <w:p w14:paraId="13AD7AEB" w14:textId="77777777" w:rsidR="009B49EF" w:rsidRDefault="009B49EF">
      <w:r>
        <w:t>O painel reforçou o papel estratégico da colaboração entre os diferentes elos do sistema alimentar para impulsionar uma transição justa e sustentável, capaz de posicionar o Brasil como protagonista na agenda global de clima e agricultura regenerativa.</w:t>
      </w:r>
    </w:p>
    <w:sectPr w:rsidR="009B4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3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9EF"/>
    <w:rsid w:val="00330458"/>
    <w:rsid w:val="00393251"/>
    <w:rsid w:val="005E465C"/>
    <w:rsid w:val="009B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03705E"/>
  <w15:chartTrackingRefBased/>
  <w15:docId w15:val="{44328DC2-CA61-3948-826E-67A64E75E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B49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B49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B49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B49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B49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B49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B49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B49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B49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B49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B49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B49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B49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B49E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B49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B49E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B49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B49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B49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B49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B49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B49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B49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B49E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B49E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B49E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B49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B49E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B49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 Cortes</dc:creator>
  <cp:keywords/>
  <dc:description/>
  <cp:lastModifiedBy>Mauricio Cortes</cp:lastModifiedBy>
  <cp:revision>2</cp:revision>
  <dcterms:created xsi:type="dcterms:W3CDTF">2025-11-13T00:14:00Z</dcterms:created>
  <dcterms:modified xsi:type="dcterms:W3CDTF">2025-11-13T00:14:00Z</dcterms:modified>
</cp:coreProperties>
</file>